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PROSPEKTUS PRODUK 2026</w:t>
            </w:r>
          </w:p>
        </w:tc>
      </w:tr>
    </w:tbl>
    <w:p>
      <w:pPr>
        <w:spacing w:after="1640"/>
      </w:pPr>
    </w:p>
    <w:p>
      <w:pPr>
        <w:spacing w:after="200"/>
      </w:pPr>
      <w:r>
        <w:rPr>
          <w:rFonts w:ascii="Arial" w:hAnsi="Arial"/>
          <w:b/>
          <w:color w:val="2F6FFF"/>
          <w:sz w:val="20"/>
        </w:rPr>
        <w:t>PORTAL BEASISWA INDONESIA TERINTEGRASI</w:t>
      </w:r>
    </w:p>
    <w:p>
      <w:pPr>
        <w:pStyle w:val="Title"/>
        <w:spacing w:after="360"/>
      </w:pPr>
      <w:r>
        <w:rPr>
          <w:rFonts w:ascii="Arial" w:hAnsi="Arial"/>
          <w:b/>
          <w:color w:val="000000"/>
          <w:sz w:val="76"/>
        </w:rPr>
        <w:t>Satu profil</w:t>
        <w:br/>
        <w:t>banyak peluang</w:t>
      </w:r>
    </w:p>
    <w:p>
      <w:pPr>
        <w:spacing w:after="560" w:line="288" w:lineRule="auto"/>
      </w:pPr>
      <w:r>
        <w:rPr>
          <w:rFonts w:ascii="Arial" w:hAnsi="Arial"/>
          <w:b w:val="0"/>
          <w:color w:val="52657E"/>
          <w:sz w:val="30"/>
        </w:rPr>
        <w:t>SatuBeasiswa Indonesia menghubungkan pencari beasiswa, pemberi, perguruan tinggi, dan pengelola data dalam satu ekosistem yang aman dan dapat ditelusuri.</w:t>
      </w: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Cakupan prospektus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2376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Bagian</w:t>
            </w:r>
          </w:p>
        </w:tc>
        <w:tc>
          <w:tcPr>
            <w:tcW w:type="dxa" w:w="763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Fokus</w:t>
            </w:r>
          </w:p>
        </w:tc>
      </w:tr>
      <w:tr>
        <w:tc>
          <w:tcPr>
            <w:tcW w:type="dxa" w:w="2376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Fitur utama</w:t>
            </w:r>
          </w:p>
        </w:tc>
        <w:tc>
          <w:tcPr>
            <w:tcW w:type="dxa" w:w="76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Pencarian, profil pemberi, Profile Match, dan agregasi data</w:t>
            </w:r>
          </w:p>
        </w:tc>
      </w:tr>
      <w:tr>
        <w:tc>
          <w:tcPr>
            <w:tcW w:type="dxa" w:w="2376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Pencari beasiswa</w:t>
            </w:r>
          </w:p>
        </w:tc>
        <w:tc>
          <w:tcPr>
            <w:tcW w:type="dxa" w:w="76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Profil, watchlist, pencarian, dan kesiapan</w:t>
            </w:r>
          </w:p>
        </w:tc>
      </w:tr>
      <w:tr>
        <w:tc>
          <w:tcPr>
            <w:tcW w:type="dxa" w:w="2376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Pemberi beasiswa</w:t>
            </w:r>
          </w:p>
        </w:tc>
        <w:tc>
          <w:tcPr>
            <w:tcW w:type="dxa" w:w="76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Verifikasi, pencarian talenta, dan permintaan konfirmasi status</w:t>
            </w:r>
          </w:p>
        </w:tc>
      </w:tr>
      <w:tr>
        <w:tc>
          <w:tcPr>
            <w:tcW w:type="dxa" w:w="2376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Perguruan tinggi</w:t>
            </w:r>
          </w:p>
        </w:tc>
        <w:tc>
          <w:tcPr>
            <w:tcW w:type="dxa" w:w="76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Data penerima serta pencarian peluang untuk institusi dan wilayah</w:t>
            </w:r>
          </w:p>
        </w:tc>
      </w:tr>
      <w:tr>
        <w:tc>
          <w:tcPr>
            <w:tcW w:type="dxa" w:w="2376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Kolaborasi</w:t>
            </w:r>
          </w:p>
        </w:tc>
        <w:tc>
          <w:tcPr>
            <w:tcW w:type="dxa" w:w="76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Program, data, dan akses talenta yang dapat diverifikasi</w:t>
            </w:r>
          </w:p>
        </w:tc>
      </w:tr>
    </w:tbl>
    <w:p>
      <w:pPr>
        <w:spacing w:after="40"/>
      </w:pPr>
    </w:p>
    <w:p>
      <w:pPr>
        <w:spacing w:after="160" w:line="276" w:lineRule="auto"/>
      </w:pPr>
      <w:r>
        <w:rPr>
          <w:rFonts w:ascii="Arial" w:hAnsi="Arial"/>
          <w:b/>
          <w:color w:val="000000"/>
          <w:sz w:val="19"/>
        </w:rPr>
        <w:t xml:space="preserve">Batas penggunaan. </w:t>
      </w:r>
      <w:r>
        <w:rPr>
          <w:rFonts w:ascii="Arial" w:hAnsi="Arial"/>
          <w:b w:val="0"/>
          <w:color w:val="000000"/>
          <w:sz w:val="19"/>
        </w:rPr>
        <w:t>Materi ini menjelaskan rancangan produk. Keputusan penerima dan pengumuman resmi tetap berada pada pemberi beasiswa.</w:t>
      </w:r>
    </w:p>
    <w:p>
      <w:pPr>
        <w:sectPr>
          <w:footerReference w:type="default" r:id="rId9"/>
          <w:pgSz w:w="12240" w:h="15840"/>
          <w:pgMar w:top="792" w:right="1037" w:bottom="893" w:left="103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02  FITUR UTAMA</w:t>
            </w:r>
          </w:p>
        </w:tc>
      </w:tr>
    </w:tbl>
    <w:p>
      <w:pPr>
        <w:spacing w:after="80"/>
      </w:pPr>
    </w:p>
    <w:p>
      <w:pPr>
        <w:pStyle w:val="Heading1"/>
        <w:spacing w:before="80" w:after="160"/>
      </w:pPr>
      <w:r>
        <w:rPr>
          <w:rFonts w:ascii="Arial" w:hAnsi="Arial"/>
          <w:b/>
          <w:color w:val="000000"/>
          <w:sz w:val="50"/>
        </w:rPr>
        <w:t>Empat fungsi dalam satu ekosistem</w:t>
      </w:r>
    </w:p>
    <w:p>
      <w:pPr>
        <w:spacing w:after="280" w:line="283" w:lineRule="auto"/>
      </w:pPr>
      <w:r>
        <w:rPr>
          <w:rFonts w:ascii="Arial" w:hAnsi="Arial"/>
          <w:b w:val="0"/>
          <w:color w:val="52657E"/>
          <w:sz w:val="21"/>
        </w:rPr>
        <w:t>Portal menyatukan informasi program dan layanan berbasis peran tanpa membuka data privat di halaman publik.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23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Fungsi</w:t>
            </w:r>
          </w:p>
        </w:tc>
        <w:tc>
          <w:tcPr>
            <w:tcW w:type="dxa" w:w="259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Pengguna utama</w:t>
            </w:r>
          </w:p>
        </w:tc>
        <w:tc>
          <w:tcPr>
            <w:tcW w:type="dxa" w:w="5184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Keluaran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Pencarian beasiswa</w:t>
            </w:r>
          </w:p>
        </w:tc>
        <w:tc>
          <w:tcPr>
            <w:tcW w:type="dxa" w:w="259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Pencari dan perguruan tinggi</w:t>
            </w:r>
          </w:p>
        </w:tc>
        <w:tc>
          <w:tcPr>
            <w:tcW w:type="dxa" w:w="5184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Program relevan menurut jenjang, bidang, kampus, lokasi, pendanaan, dan tenggat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Profil pemberi</w:t>
            </w:r>
          </w:p>
        </w:tc>
        <w:tc>
          <w:tcPr>
            <w:tcW w:type="dxa" w:w="259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 dan mitra filantropi</w:t>
            </w:r>
          </w:p>
        </w:tc>
        <w:tc>
          <w:tcPr>
            <w:tcW w:type="dxa" w:w="5184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Identitas terverifikasi, program, kandidat, serta pemantauan proses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Profile Match</w:t>
            </w:r>
          </w:p>
        </w:tc>
        <w:tc>
          <w:tcPr>
            <w:tcW w:type="dxa" w:w="259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Pencari dan pemberi</w:t>
            </w:r>
          </w:p>
        </w:tc>
        <w:tc>
          <w:tcPr>
            <w:tcW w:type="dxa" w:w="5184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Alasan kecocokan antara profil talenta dan kriteria program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Agregasi data</w:t>
            </w:r>
          </w:p>
        </w:tc>
        <w:tc>
          <w:tcPr>
            <w:tcW w:type="dxa" w:w="259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Perguruan tinggi dan pengelola</w:t>
            </w:r>
          </w:p>
        </w:tc>
        <w:tc>
          <w:tcPr>
            <w:tcW w:type="dxa" w:w="5184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Ringkasan program, pemberi, penerima, institusi, wilayah, dan hasil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Prinsip akses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23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Lapisan</w:t>
            </w:r>
          </w:p>
        </w:tc>
        <w:tc>
          <w:tcPr>
            <w:tcW w:type="dxa" w:w="388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Isi</w:t>
            </w:r>
          </w:p>
        </w:tc>
        <w:tc>
          <w:tcPr>
            <w:tcW w:type="dxa" w:w="388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Kontrol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Publik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Ringkasan program yang sedang ditayangkan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Tidak menampilkan detail sensitif atau profil pribadi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Pengguna terautentikasi</w:t>
            </w:r>
          </w:p>
        </w:tc>
        <w:tc>
          <w:tcPr>
            <w:tcW w:type="dxa" w:w="38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Profil, watchlist, rekomendasi, dan kesiapan</w:t>
            </w:r>
          </w:p>
        </w:tc>
        <w:tc>
          <w:tcPr>
            <w:tcW w:type="dxa" w:w="38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Mengikuti akun dan pilihan pengguna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Pemberi terverifikasi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Direktori talenta dan komunikasi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Hanya profil yang memberi persetujuan pencocokan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Institusi dan pengelola</w:t>
            </w:r>
          </w:p>
        </w:tc>
        <w:tc>
          <w:tcPr>
            <w:tcW w:type="dxa" w:w="38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Data penerima dan agregasi</w:t>
            </w:r>
          </w:p>
        </w:tc>
        <w:tc>
          <w:tcPr>
            <w:tcW w:type="dxa" w:w="38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Mengikuti ruang lingkup institusi dan kewenangan</w:t>
            </w:r>
          </w:p>
        </w:tc>
      </w:tr>
    </w:tbl>
    <w:p>
      <w:pPr>
        <w:spacing w:after="40"/>
      </w:pPr>
    </w:p>
    <w:p>
      <w:pPr>
        <w:sectPr>
          <w:footerReference w:type="default" r:id="rId10"/>
          <w:pgSz w:w="12240" w:h="15840"/>
          <w:pgMar w:top="792" w:right="1037" w:bottom="893" w:left="103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03  PENCARI BEASISWA</w:t>
            </w:r>
          </w:p>
        </w:tc>
      </w:tr>
    </w:tbl>
    <w:p>
      <w:pPr>
        <w:spacing w:after="80"/>
      </w:pPr>
    </w:p>
    <w:p>
      <w:pPr>
        <w:pStyle w:val="Heading1"/>
        <w:spacing w:before="80" w:after="160"/>
      </w:pPr>
      <w:r>
        <w:rPr>
          <w:rFonts w:ascii="Arial" w:hAnsi="Arial"/>
          <w:b/>
          <w:color w:val="000000"/>
          <w:sz w:val="50"/>
        </w:rPr>
        <w:t>Satu profil untuk setiap tahap perjalanan</w:t>
      </w:r>
    </w:p>
    <w:p>
      <w:pPr>
        <w:spacing w:after="280" w:line="283" w:lineRule="auto"/>
      </w:pPr>
      <w:r>
        <w:rPr>
          <w:rFonts w:ascii="Arial" w:hAnsi="Arial"/>
          <w:b w:val="0"/>
          <w:color w:val="52657E"/>
          <w:sz w:val="21"/>
        </w:rPr>
        <w:t>Calon mahasiswa, mahasiswa aktif, alumni, dan masyarakat umum memakai alur yang sama untuk menyiapkan pilihan dan tindak lanjut.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2520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Kelompok</w:t>
            </w:r>
          </w:p>
        </w:tc>
        <w:tc>
          <w:tcPr>
            <w:tcW w:type="dxa" w:w="748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Kebutuhan yang umum</w:t>
            </w:r>
          </w:p>
        </w:tc>
      </w:tr>
      <w:tr>
        <w:tc>
          <w:tcPr>
            <w:tcW w:type="dxa" w:w="252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Calon mahasiswa</w:t>
            </w:r>
          </w:p>
        </w:tc>
        <w:tc>
          <w:tcPr>
            <w:tcW w:type="dxa" w:w="74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Beasiswa masuk perguruan tinggi, afirmasi, dan persiapan dokumen</w:t>
            </w:r>
          </w:p>
        </w:tc>
      </w:tr>
      <w:tr>
        <w:tc>
          <w:tcPr>
            <w:tcW w:type="dxa" w:w="252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Mahasiswa aktif</w:t>
            </w:r>
          </w:p>
        </w:tc>
        <w:tc>
          <w:tcPr>
            <w:tcW w:type="dxa" w:w="74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Pendanaan studi berjalan, riset, pertukaran, dan prestasi</w:t>
            </w:r>
          </w:p>
        </w:tc>
      </w:tr>
      <w:tr>
        <w:tc>
          <w:tcPr>
            <w:tcW w:type="dxa" w:w="252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Alumni</w:t>
            </w:r>
          </w:p>
        </w:tc>
        <w:tc>
          <w:tcPr>
            <w:tcW w:type="dxa" w:w="74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Studi lanjut, riset, profesi, dan mobilitas internasional</w:t>
            </w:r>
          </w:p>
        </w:tc>
      </w:tr>
      <w:tr>
        <w:tc>
          <w:tcPr>
            <w:tcW w:type="dxa" w:w="252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Masyarakat umum</w:t>
            </w:r>
          </w:p>
        </w:tc>
        <w:tc>
          <w:tcPr>
            <w:tcW w:type="dxa" w:w="74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Short course, sertifikasi, keterampilan, dan program non gelar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Alur pencari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172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Tahap</w:t>
            </w:r>
          </w:p>
        </w:tc>
        <w:tc>
          <w:tcPr>
            <w:tcW w:type="dxa" w:w="439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Aktivitas</w:t>
            </w:r>
          </w:p>
        </w:tc>
        <w:tc>
          <w:tcPr>
            <w:tcW w:type="dxa" w:w="388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Hasil</w:t>
            </w:r>
          </w:p>
        </w:tc>
      </w:tr>
      <w:tr>
        <w:tc>
          <w:tcPr>
            <w:tcW w:type="dxa" w:w="17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01 Profil</w:t>
            </w:r>
          </w:p>
        </w:tc>
        <w:tc>
          <w:tcPr>
            <w:tcW w:type="dxa" w:w="439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Melengkapi pendidikan, tujuan, domisili, prestasi, kebutuhan, dan dokumen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Profil yang dapat dipakai untuk pencarian dan kesiapan</w:t>
            </w:r>
          </w:p>
        </w:tc>
      </w:tr>
      <w:tr>
        <w:tc>
          <w:tcPr>
            <w:tcW w:type="dxa" w:w="17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02 Watchlist</w:t>
            </w:r>
          </w:p>
        </w:tc>
        <w:tc>
          <w:tcPr>
            <w:tcW w:type="dxa" w:w="439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Menyimpan tujuan, membandingkan program, dan memantau tenggat</w:t>
            </w:r>
          </w:p>
        </w:tc>
        <w:tc>
          <w:tcPr>
            <w:tcW w:type="dxa" w:w="388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Daftar prioritas yang terkelola</w:t>
            </w:r>
          </w:p>
        </w:tc>
      </w:tr>
      <w:tr>
        <w:tc>
          <w:tcPr>
            <w:tcW w:type="dxa" w:w="17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03 Pencarian</w:t>
            </w:r>
          </w:p>
        </w:tc>
        <w:tc>
          <w:tcPr>
            <w:tcW w:type="dxa" w:w="439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Menelusuri program dan membaca alasan kecocokan</w:t>
            </w:r>
          </w:p>
        </w:tc>
        <w:tc>
          <w:tcPr>
            <w:tcW w:type="dxa" w:w="388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Pilihan yang relevan beserta langkah berikutnya</w:t>
            </w:r>
          </w:p>
        </w:tc>
      </w:tr>
    </w:tbl>
    <w:p>
      <w:pPr>
        <w:spacing w:after="40"/>
      </w:pPr>
    </w:p>
    <w:p>
      <w:pPr>
        <w:spacing w:after="160" w:line="276" w:lineRule="auto"/>
      </w:pPr>
      <w:r>
        <w:rPr>
          <w:rFonts w:ascii="Arial" w:hAnsi="Arial"/>
          <w:b/>
          <w:color w:val="000000"/>
          <w:sz w:val="19"/>
        </w:rPr>
        <w:t xml:space="preserve">Kontrol pengguna. </w:t>
      </w:r>
      <w:r>
        <w:rPr>
          <w:rFonts w:ascii="Arial" w:hAnsi="Arial"/>
          <w:b w:val="0"/>
          <w:color w:val="000000"/>
          <w:sz w:val="19"/>
        </w:rPr>
        <w:t>Pengguna dapat memperbarui profil dan mencabut persetujuan pencocokan kapan saja. Rekomendasi membantu penyaringan, tetapi tidak menggantikan verifikasi syarat atau keputusan pemberi.</w:t>
      </w:r>
    </w:p>
    <w:p>
      <w:pPr>
        <w:sectPr>
          <w:footerReference w:type="default" r:id="rId11"/>
          <w:pgSz w:w="12240" w:h="15840"/>
          <w:pgMar w:top="792" w:right="1037" w:bottom="893" w:left="103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04  PEMBERI</w:t>
            </w:r>
          </w:p>
        </w:tc>
      </w:tr>
    </w:tbl>
    <w:p>
      <w:pPr>
        <w:spacing w:after="80"/>
      </w:pPr>
    </w:p>
    <w:p>
      <w:pPr>
        <w:pStyle w:val="Heading1"/>
        <w:spacing w:before="80" w:after="160"/>
      </w:pPr>
      <w:r>
        <w:rPr>
          <w:rFonts w:ascii="Arial" w:hAnsi="Arial"/>
          <w:b/>
          <w:color w:val="000000"/>
          <w:sz w:val="50"/>
        </w:rPr>
        <w:t>Pemberi terverifikasi menemukan talenta yang relevan</w:t>
      </w:r>
    </w:p>
    <w:p>
      <w:pPr>
        <w:spacing w:after="280" w:line="283" w:lineRule="auto"/>
      </w:pPr>
      <w:r>
        <w:rPr>
          <w:rFonts w:ascii="Arial" w:hAnsi="Arial"/>
          <w:b w:val="0"/>
          <w:color w:val="52657E"/>
          <w:sz w:val="21"/>
        </w:rPr>
        <w:t>Jenis organisasi dibedakan agar identitas, kewenangan, dan kanal program dapat diperiksa melalui jalur yang tepat.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352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Jenis pemberi</w:t>
            </w:r>
          </w:p>
        </w:tc>
        <w:tc>
          <w:tcPr>
            <w:tcW w:type="dxa" w:w="6480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Lingkup profil</w:t>
            </w:r>
          </w:p>
        </w:tc>
      </w:tr>
      <w:tr>
        <w:tc>
          <w:tcPr>
            <w:tcW w:type="dxa" w:w="35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 pusat</w:t>
            </w:r>
          </w:p>
        </w:tc>
        <w:tc>
          <w:tcPr>
            <w:tcW w:type="dxa" w:w="648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Kementerian atau lembaga dengan program nasional</w:t>
            </w:r>
          </w:p>
        </w:tc>
      </w:tr>
      <w:tr>
        <w:tc>
          <w:tcPr>
            <w:tcW w:type="dxa" w:w="35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 daerah provinsi</w:t>
            </w:r>
          </w:p>
        </w:tc>
        <w:tc>
          <w:tcPr>
            <w:tcW w:type="dxa" w:w="648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Program tingkat provinsi dan wilayah layanannya</w:t>
            </w:r>
          </w:p>
        </w:tc>
      </w:tr>
      <w:tr>
        <w:tc>
          <w:tcPr>
            <w:tcW w:type="dxa" w:w="35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 kabupaten atau kota</w:t>
            </w:r>
          </w:p>
        </w:tc>
        <w:tc>
          <w:tcPr>
            <w:tcW w:type="dxa" w:w="648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Program lokal kabupaten atau kota</w:t>
            </w:r>
          </w:p>
        </w:tc>
      </w:tr>
      <w:tr>
        <w:tc>
          <w:tcPr>
            <w:tcW w:type="dxa" w:w="35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 luar negeri</w:t>
            </w:r>
          </w:p>
        </w:tc>
        <w:tc>
          <w:tcPr>
            <w:tcW w:type="dxa" w:w="648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Program resmi negara pemberi</w:t>
            </w:r>
          </w:p>
        </w:tc>
      </w:tr>
      <w:tr>
        <w:tc>
          <w:tcPr>
            <w:tcW w:type="dxa" w:w="35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Filantropi dalam negeri</w:t>
            </w:r>
          </w:p>
        </w:tc>
        <w:tc>
          <w:tcPr>
            <w:tcW w:type="dxa" w:w="648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Yayasan, organisasi sosial, atau individu di Indonesia</w:t>
            </w:r>
          </w:p>
        </w:tc>
      </w:tr>
      <w:tr>
        <w:tc>
          <w:tcPr>
            <w:tcW w:type="dxa" w:w="35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Filantropi luar negeri</w:t>
            </w:r>
          </w:p>
        </w:tc>
        <w:tc>
          <w:tcPr>
            <w:tcW w:type="dxa" w:w="648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Mitra internasional non pemerintah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Fitur pemberi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3240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Fitur</w:t>
            </w:r>
          </w:p>
        </w:tc>
        <w:tc>
          <w:tcPr>
            <w:tcW w:type="dxa" w:w="676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Cara kerja</w:t>
            </w:r>
          </w:p>
        </w:tc>
      </w:tr>
      <w:tr>
        <w:tc>
          <w:tcPr>
            <w:tcW w:type="dxa" w:w="324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Profil dan program</w:t>
            </w:r>
          </w:p>
        </w:tc>
        <w:tc>
          <w:tcPr>
            <w:tcW w:type="dxa" w:w="676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Daftarkan organisasi, unggah bukti legal, dan publikasikan program setelah verifikasi</w:t>
            </w:r>
          </w:p>
        </w:tc>
      </w:tr>
      <w:tr>
        <w:tc>
          <w:tcPr>
            <w:tcW w:type="dxa" w:w="324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Pencarian talenta</w:t>
            </w:r>
          </w:p>
        </w:tc>
        <w:tc>
          <w:tcPr>
            <w:tcW w:type="dxa" w:w="676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Cari kandidat menurut jenjang, bidang, lokasi, dan persetujuan profil</w:t>
            </w:r>
          </w:p>
        </w:tc>
      </w:tr>
      <w:tr>
        <w:tc>
          <w:tcPr>
            <w:tcW w:type="dxa" w:w="324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Permintaan konfirmasi status</w:t>
            </w:r>
          </w:p>
        </w:tc>
        <w:tc>
          <w:tcPr>
            <w:tcW w:type="dxa" w:w="676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Gunakan inbox untuk menanyakan apakah kandidat sedang atau pernah menerima beasiswa</w:t>
            </w:r>
          </w:p>
        </w:tc>
      </w:tr>
    </w:tbl>
    <w:p>
      <w:pPr>
        <w:spacing w:after="40"/>
      </w:pPr>
    </w:p>
    <w:p>
      <w:pPr>
        <w:spacing w:after="160" w:line="276" w:lineRule="auto"/>
      </w:pPr>
      <w:r>
        <w:rPr>
          <w:rFonts w:ascii="Arial" w:hAnsi="Arial"/>
          <w:b/>
          <w:color w:val="000000"/>
          <w:sz w:val="19"/>
        </w:rPr>
        <w:t xml:space="preserve">Privasi kandidat. </w:t>
      </w:r>
      <w:r>
        <w:rPr>
          <w:rFonts w:ascii="Arial" w:hAnsi="Arial"/>
          <w:b w:val="0"/>
          <w:color w:val="000000"/>
          <w:sz w:val="19"/>
        </w:rPr>
        <w:t>Direktori tidak menampilkan kontak pribadi. Percakapan berlangsung melalui pesan SatuBeasiswa dan kandidat dapat memilih untuk tidak membagikan informasi yang diminta.</w:t>
      </w:r>
    </w:p>
    <w:p>
      <w:pPr>
        <w:sectPr>
          <w:footerReference w:type="default" r:id="rId12"/>
          <w:pgSz w:w="12240" w:h="15840"/>
          <w:pgMar w:top="792" w:right="1037" w:bottom="893" w:left="103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05  PERGURUAN TINGGI</w:t>
            </w:r>
          </w:p>
        </w:tc>
      </w:tr>
    </w:tbl>
    <w:p>
      <w:pPr>
        <w:spacing w:after="80"/>
      </w:pPr>
    </w:p>
    <w:p>
      <w:pPr>
        <w:pStyle w:val="Heading1"/>
        <w:spacing w:before="80" w:after="160"/>
      </w:pPr>
      <w:r>
        <w:rPr>
          <w:rFonts w:ascii="Arial" w:hAnsi="Arial"/>
          <w:b/>
          <w:color w:val="000000"/>
          <w:sz w:val="50"/>
        </w:rPr>
        <w:t>Data penerima dan peluang untuk setiap kampus</w:t>
      </w:r>
    </w:p>
    <w:p>
      <w:pPr>
        <w:spacing w:after="280" w:line="283" w:lineRule="auto"/>
      </w:pPr>
      <w:r>
        <w:rPr>
          <w:rFonts w:ascii="Arial" w:hAnsi="Arial"/>
          <w:b w:val="0"/>
          <w:color w:val="52657E"/>
          <w:sz w:val="21"/>
        </w:rPr>
        <w:t>Perguruan tinggi dapat melihat catatan penerima sesuai ruang lingkupnya dan menelusuri program yang relevan bagi institusi atau wilayah.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23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Kebutuhan</w:t>
            </w:r>
          </w:p>
        </w:tc>
        <w:tc>
          <w:tcPr>
            <w:tcW w:type="dxa" w:w="4320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Fitur</w:t>
            </w:r>
          </w:p>
        </w:tc>
        <w:tc>
          <w:tcPr>
            <w:tcW w:type="dxa" w:w="3456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Contoh pencarian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Memantau penerima</w:t>
            </w:r>
          </w:p>
        </w:tc>
        <w:tc>
          <w:tcPr>
            <w:tcW w:type="dxa" w:w="432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Ringkasan aplikasi, penerima, sumber, program, dan status</w:t>
            </w:r>
          </w:p>
        </w:tc>
        <w:tc>
          <w:tcPr>
            <w:tcW w:type="dxa" w:w="3456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Perguruan tinggi atau program studi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Mencari peluang</w:t>
            </w:r>
          </w:p>
        </w:tc>
        <w:tc>
          <w:tcPr>
            <w:tcW w:type="dxa" w:w="432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Pencarian lintas program dan pemberi</w:t>
            </w:r>
          </w:p>
        </w:tc>
        <w:tc>
          <w:tcPr>
            <w:tcW w:type="dxa" w:w="3456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Nama kampus, bidang studi, dan jenjang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Membaca cakupan wilayah</w:t>
            </w:r>
          </w:p>
        </w:tc>
        <w:tc>
          <w:tcPr>
            <w:tcW w:type="dxa" w:w="432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Filter lokasi dan target program</w:t>
            </w:r>
          </w:p>
        </w:tc>
        <w:tc>
          <w:tcPr>
            <w:tcW w:type="dxa" w:w="3456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Provinsi, kabupaten, kota, daerah, atau negara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Berkoordinasi</w:t>
            </w:r>
          </w:p>
        </w:tc>
        <w:tc>
          <w:tcPr>
            <w:tcW w:type="dxa" w:w="432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Keterhubungan dengan kandidat dan pemberi</w:t>
            </w:r>
          </w:p>
        </w:tc>
        <w:tc>
          <w:tcPr>
            <w:tcW w:type="dxa" w:w="3456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Program yang menargetkan institusi tertentu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Alur institusi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2880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Tahap</w:t>
            </w:r>
          </w:p>
        </w:tc>
        <w:tc>
          <w:tcPr>
            <w:tcW w:type="dxa" w:w="7128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Aktivitas</w:t>
            </w:r>
          </w:p>
        </w:tc>
      </w:tr>
      <w:tr>
        <w:tc>
          <w:tcPr>
            <w:tcW w:type="dxa" w:w="288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01 Hubungkan institusi</w:t>
            </w:r>
          </w:p>
        </w:tc>
        <w:tc>
          <w:tcPr>
            <w:tcW w:type="dxa" w:w="71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Pastikan identitas institusi dan ruang lingkup data</w:t>
            </w:r>
          </w:p>
        </w:tc>
      </w:tr>
      <w:tr>
        <w:tc>
          <w:tcPr>
            <w:tcW w:type="dxa" w:w="288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02 Cari peluang</w:t>
            </w:r>
          </w:p>
        </w:tc>
        <w:tc>
          <w:tcPr>
            <w:tcW w:type="dxa" w:w="71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Gunakan nama kampus, program, atau wilayah tujuan</w:t>
            </w:r>
          </w:p>
        </w:tc>
      </w:tr>
      <w:tr>
        <w:tc>
          <w:tcPr>
            <w:tcW w:type="dxa" w:w="2880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03 Pantau penerima</w:t>
            </w:r>
          </w:p>
        </w:tc>
        <w:tc>
          <w:tcPr>
            <w:tcW w:type="dxa" w:w="7128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Tinjau status yang tercatat dan kebutuhan tindak lanjut</w:t>
            </w:r>
          </w:p>
        </w:tc>
      </w:tr>
      <w:tr>
        <w:tc>
          <w:tcPr>
            <w:tcW w:type="dxa" w:w="2880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04 Koordinasikan</w:t>
            </w:r>
          </w:p>
        </w:tc>
        <w:tc>
          <w:tcPr>
            <w:tcW w:type="dxa" w:w="7128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Hubungkan kandidat dengan pemberi melalui kanal yang aman</w:t>
            </w:r>
          </w:p>
        </w:tc>
      </w:tr>
    </w:tbl>
    <w:p>
      <w:pPr>
        <w:spacing w:after="40"/>
      </w:pPr>
    </w:p>
    <w:p>
      <w:pPr>
        <w:spacing w:after="160" w:line="276" w:lineRule="auto"/>
      </w:pPr>
      <w:r>
        <w:rPr>
          <w:rFonts w:ascii="Arial" w:hAnsi="Arial"/>
          <w:b/>
          <w:color w:val="000000"/>
          <w:sz w:val="19"/>
        </w:rPr>
        <w:t xml:space="preserve">Ketertelusuran. </w:t>
      </w:r>
      <w:r>
        <w:rPr>
          <w:rFonts w:ascii="Arial" w:hAnsi="Arial"/>
          <w:b w:val="0"/>
          <w:color w:val="000000"/>
          <w:sz w:val="19"/>
        </w:rPr>
        <w:t>Data penerima mengikuti sumber resmi program, status yang tercatat di platform, dan hak akses perguruan tinggi. Agregasi tidak mengubah keputusan atau pengumuman pemberi.</w:t>
      </w:r>
    </w:p>
    <w:p>
      <w:pPr>
        <w:sectPr>
          <w:footerReference w:type="default" r:id="rId13"/>
          <w:pgSz w:w="12240" w:h="15840"/>
          <w:pgMar w:top="792" w:right="1037" w:bottom="893" w:left="1037" w:header="720" w:footer="720" w:gutter="0"/>
          <w:cols w:space="720"/>
          <w:docGrid w:linePitch="360"/>
        </w:sectPr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SATUBEASISWA INDONESIA</w:t>
            </w:r>
          </w:p>
        </w:tc>
        <w:tc>
          <w:tcPr>
            <w:tcW w:type="dxa" w:w="5083"/>
            <w:shd w:fill="07163F"/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  <w:tcMar>
              <w:top w:w="120" w:type="dxa"/>
              <w:start w:w="130" w:type="dxa"/>
              <w:bottom w:w="120" w:type="dxa"/>
              <w:end w:w="130" w:type="dxa"/>
            </w:tcMar>
            <w:vAlign w:val="center"/>
          </w:tcPr>
          <w:p>
            <w:pPr>
              <w:spacing w:before="0" w:after="0" w:line="259" w:lineRule="auto"/>
              <w:jc w:val="right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06  AJAKAN KOLABORASI</w:t>
            </w:r>
          </w:p>
        </w:tc>
      </w:tr>
    </w:tbl>
    <w:p>
      <w:pPr>
        <w:spacing w:after="80"/>
      </w:pPr>
    </w:p>
    <w:p>
      <w:pPr>
        <w:pStyle w:val="Heading1"/>
        <w:spacing w:before="80" w:after="160"/>
      </w:pPr>
      <w:r>
        <w:rPr>
          <w:rFonts w:ascii="Arial" w:hAnsi="Arial"/>
          <w:b/>
          <w:color w:val="000000"/>
          <w:sz w:val="50"/>
        </w:rPr>
        <w:t>Kolaborasi dimulai dari program, data, dan akses talenta</w:t>
      </w:r>
    </w:p>
    <w:p>
      <w:pPr>
        <w:spacing w:after="280" w:line="283" w:lineRule="auto"/>
      </w:pPr>
      <w:r>
        <w:rPr>
          <w:rFonts w:ascii="Arial" w:hAnsi="Arial"/>
          <w:b w:val="0"/>
          <w:color w:val="52657E"/>
          <w:sz w:val="21"/>
        </w:rPr>
        <w:t>Setiap mitra dapat memulai dari satu kontribusi yang jelas, dapat diverifikasi, dan sesuai kewenangannya.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223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Mitra</w:t>
            </w:r>
          </w:p>
        </w:tc>
        <w:tc>
          <w:tcPr>
            <w:tcW w:type="dxa" w:w="4104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Kontribusi awal</w:t>
            </w:r>
          </w:p>
        </w:tc>
        <w:tc>
          <w:tcPr>
            <w:tcW w:type="dxa" w:w="367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Nilai bagi ekosistem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Pemerintah</w:t>
            </w:r>
          </w:p>
        </w:tc>
        <w:tc>
          <w:tcPr>
            <w:tcW w:type="dxa" w:w="4104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Hubungkan program dan kanal resmi</w:t>
            </w:r>
          </w:p>
        </w:tc>
        <w:tc>
          <w:tcPr>
            <w:tcW w:type="dxa" w:w="367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Jangkauan informasi dan pemantauan program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Perguruan tinggi</w:t>
            </w:r>
          </w:p>
        </w:tc>
        <w:tc>
          <w:tcPr>
            <w:tcW w:type="dxa" w:w="4104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Perbarui data penerima dan peluang institusi</w:t>
            </w:r>
          </w:p>
        </w:tc>
        <w:tc>
          <w:tcPr>
            <w:tcW w:type="dxa" w:w="367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Koordinasi kandidat dan sumber beasiswa</w:t>
            </w:r>
          </w:p>
        </w:tc>
      </w:tr>
      <w:tr>
        <w:tc>
          <w:tcPr>
            <w:tcW w:type="dxa" w:w="223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Filantropi</w:t>
            </w:r>
          </w:p>
        </w:tc>
        <w:tc>
          <w:tcPr>
            <w:tcW w:type="dxa" w:w="4104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Bangun profil dan publikasikan program terverifikasi</w:t>
            </w:r>
          </w:p>
        </w:tc>
        <w:tc>
          <w:tcPr>
            <w:tcW w:type="dxa" w:w="367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Akses talenta yang relevan</w:t>
            </w:r>
          </w:p>
        </w:tc>
      </w:tr>
      <w:tr>
        <w:tc>
          <w:tcPr>
            <w:tcW w:type="dxa" w:w="223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Mitra data</w:t>
            </w:r>
          </w:p>
        </w:tc>
        <w:tc>
          <w:tcPr>
            <w:tcW w:type="dxa" w:w="4104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Selaraskan definisi, periode, dan sumber</w:t>
            </w:r>
          </w:p>
        </w:tc>
        <w:tc>
          <w:tcPr>
            <w:tcW w:type="dxa" w:w="3672"/>
            <w:shd w:fill="F4F7FC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7"/>
              </w:rPr>
              <w:t>Agregasi yang dapat dibandingkan dan ditelusuri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Langkah awal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rPr>
          <w:tblHeader w:val="true"/>
        </w:trPr>
        <w:tc>
          <w:tcPr>
            <w:tcW w:type="dxa" w:w="331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1</w:t>
            </w:r>
          </w:p>
        </w:tc>
        <w:tc>
          <w:tcPr>
            <w:tcW w:type="dxa" w:w="3312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2</w:t>
            </w:r>
          </w:p>
        </w:tc>
        <w:tc>
          <w:tcPr>
            <w:tcW w:type="dxa" w:w="3384"/>
            <w:shd w:fill="07163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3</w:t>
            </w:r>
          </w:p>
        </w:tc>
      </w:tr>
      <w:tr>
        <w:tc>
          <w:tcPr>
            <w:tcW w:type="dxa" w:w="331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Daftarkan organisasi</w:t>
            </w:r>
          </w:p>
        </w:tc>
        <w:tc>
          <w:tcPr>
            <w:tcW w:type="dxa" w:w="3312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Tentukan pemilik data dan program</w:t>
            </w:r>
          </w:p>
        </w:tc>
        <w:tc>
          <w:tcPr>
            <w:tcW w:type="dxa" w:w="3384"/>
            <w:shd w:fill="FFFFFF"/>
            <w:vAlign w:val="center"/>
            <w:tcMar>
              <w:top w:w="120" w:type="dxa"/>
              <w:start w:w="130" w:type="dxa"/>
              <w:bottom w:w="120" w:type="dxa"/>
              <w:end w:w="130" w:type="dxa"/>
            </w:tcMar>
            <w:tcBorders>
              <w:top w:val="single" w:sz="6" w:color="D9E2EA"/>
              <w:left w:val="single" w:sz="6" w:color="D9E2EA"/>
              <w:bottom w:val="single" w:sz="6" w:color="D9E2EA"/>
              <w:right w:val="single" w:sz="6" w:color="D9E2EA"/>
              <w:insideH w:val="single" w:sz="6" w:color="D9E2EA"/>
              <w:insideV w:val="single" w:sz="6" w:color="D9E2EA"/>
            </w:tcBorders>
          </w:tcPr>
          <w:p>
            <w:pPr>
              <w:spacing w:before="0" w:after="0" w:line="259" w:lineRule="auto"/>
              <w:jc w:val="left"/>
            </w:pPr>
            <w:r/>
            <w:r>
              <w:rPr>
                <w:rFonts w:ascii="Arial" w:hAnsi="Arial"/>
                <w:b w:val="0"/>
                <w:color w:val="000000"/>
                <w:sz w:val="18"/>
              </w:rPr>
              <w:t>Pilih satu use case untuk diuji bersama</w:t>
            </w:r>
          </w:p>
        </w:tc>
      </w:tr>
    </w:tbl>
    <w:p>
      <w:pPr>
        <w:spacing w:after="40"/>
      </w:pPr>
    </w:p>
    <w:p>
      <w:pPr>
        <w:pStyle w:val="Heading2"/>
        <w:spacing w:before="240" w:after="120"/>
      </w:pPr>
      <w:r>
        <w:rPr>
          <w:rFonts w:ascii="Arial" w:hAnsi="Arial"/>
          <w:b/>
          <w:color w:val="000000"/>
          <w:sz w:val="28"/>
        </w:rPr>
        <w:t>Akses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19"/>
        </w:rPr>
        <w:t>Portal publik: /beasiswa/publik/portal/</w:t>
      </w:r>
    </w:p>
    <w:p>
      <w:pPr>
        <w:spacing w:after="160" w:line="276" w:lineRule="auto"/>
      </w:pPr>
      <w:r>
        <w:rPr>
          <w:rFonts w:ascii="Arial" w:hAnsi="Arial"/>
          <w:b w:val="0"/>
          <w:color w:val="000000"/>
          <w:sz w:val="19"/>
        </w:rPr>
        <w:t>Prospektus: /beasiswa/publik/prospektus/</w:t>
      </w:r>
    </w:p>
    <w:p>
      <w:pPr>
        <w:spacing w:after="160" w:line="276" w:lineRule="auto"/>
      </w:pPr>
      <w:r>
        <w:rPr>
          <w:rFonts w:ascii="Arial" w:hAnsi="Arial"/>
          <w:b/>
          <w:color w:val="000000"/>
          <w:sz w:val="19"/>
        </w:rPr>
        <w:t xml:space="preserve">Komitmen produk. </w:t>
      </w:r>
      <w:r>
        <w:rPr>
          <w:rFonts w:ascii="Arial" w:hAnsi="Arial"/>
          <w:b w:val="0"/>
          <w:color w:val="000000"/>
          <w:sz w:val="19"/>
        </w:rPr>
        <w:t>SatuBeasiswa menjaga perbedaan antara informasi publik, data yang dibagikan dengan persetujuan, dan keputusan resmi pemberi.</w:t>
      </w:r>
    </w:p>
    <w:sectPr w:rsidR="00FC693F" w:rsidRPr="0006063C" w:rsidSect="00034616">
      <w:footerReference w:type="default" r:id="rId14"/>
      <w:pgSz w:w="12240" w:h="15840"/>
      <w:pgMar w:top="792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01 / 06</w:t>
          </w:r>
        </w:p>
      </w:tc>
    </w:tr>
  </w:tbl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02 / 06</w:t>
          </w:r>
        </w:p>
      </w:tc>
    </w:tr>
  </w:tbl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03 / 06</w:t>
          </w:r>
        </w:p>
      </w:tc>
    </w:tr>
  </w:tbl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04 / 06</w:t>
          </w:r>
        </w:p>
      </w:tc>
    </w:tr>
  </w:tbl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05 / 06</w:t>
          </w:r>
        </w:p>
      </w:tc>
    </w:tr>
  </w:tbl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tblLayout w:type="fixed"/>
      <w:tblLook w:firstColumn="1" w:firstRow="1" w:lastColumn="0" w:lastRow="0" w:noHBand="0" w:noVBand="1" w:val="04A0"/>
    </w:tblPr>
    <w:tblGrid>
      <w:gridCol w:w="4824"/>
      <w:gridCol w:w="4824"/>
    </w:tblGrid>
    <w:tr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left"/>
          </w:pPr>
          <w:r/>
          <w:r>
            <w:rPr>
              <w:rFonts w:ascii="Arial" w:hAnsi="Arial"/>
              <w:b w:val="0"/>
              <w:color w:val="52657E"/>
              <w:sz w:val="15"/>
            </w:rPr>
            <w:t>Prospektus Produk SatuBeasiswa Indonesia</w:t>
          </w:r>
        </w:p>
      </w:tc>
      <w:tc>
        <w:tcPr>
          <w:tcW w:type="dxa" w:w="4824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120" w:type="dxa"/>
            <w:start w:w="130" w:type="dxa"/>
            <w:bottom w:w="120" w:type="dxa"/>
            <w:end w:w="130" w:type="dxa"/>
          </w:tcMar>
          <w:vAlign w:val="center"/>
        </w:tcPr>
        <w:p>
          <w:pPr>
            <w:spacing w:before="0" w:after="0" w:line="259" w:lineRule="auto"/>
            <w:jc w:val="right"/>
          </w:pPr>
          <w:r/>
          <w:r>
            <w:rPr>
              <w:rFonts w:ascii="Arial" w:hAnsi="Arial"/>
              <w:b/>
              <w:color w:val="52657E"/>
              <w:sz w:val="15"/>
            </w:rPr>
            <w:t>06 / 06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5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6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Prospektus Produk SatuBeasiswa Indonesia</dc:title>
  <dc:subject>Fitur utama, pencari, pemberi, perguruan tinggi, dan kolaborasi</dc:subject>
  <dc:creator>SatuBeasiswa Indonesia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